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6D" w:rsidRPr="001D316D" w:rsidRDefault="001D316D" w:rsidP="001D316D">
      <w:pPr>
        <w:rPr>
          <w:rFonts w:ascii="Arial" w:eastAsia="Times New Roman" w:hAnsi="Arial" w:cs="Arial"/>
          <w:sz w:val="20"/>
          <w:szCs w:val="20"/>
        </w:rPr>
      </w:pPr>
      <w:bookmarkStart w:id="0" w:name="_GoBack"/>
      <w:bookmarkEnd w:id="0"/>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Pr="001D316D">
        <w:rPr>
          <w:rFonts w:ascii="Arial" w:eastAsia="Times New Roman" w:hAnsi="Arial" w:cs="Arial"/>
          <w:sz w:val="20"/>
          <w:szCs w:val="20"/>
        </w:rPr>
        <w:instrText xml:space="preserve"> INCLUDEPICTURE "/var/folders/yl/21tvx44j5fvghz7lg5zcw4mw0000gn/T/com.microsoft.Word/WebArchiveCopyPasteTempFiles/page1image3806464" \* MERGEFORMATINET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lang w:eastAsia="en-GB"/>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academies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Recording</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r w:rsidR="008776C8">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Pr="001D316D">
        <w:rPr>
          <w:rFonts w:ascii="Arial" w:eastAsia="Times New Roman" w:hAnsi="Arial" w:cs="Arial"/>
          <w:sz w:val="20"/>
          <w:szCs w:val="20"/>
        </w:rPr>
        <w:t xml:space="preserve"> </w:t>
      </w:r>
      <w:r w:rsidR="001B6CA0">
        <w:rPr>
          <w:rFonts w:ascii="Arial" w:eastAsia="Times New Roman" w:hAnsi="Arial" w:cs="Arial"/>
          <w:sz w:val="20"/>
          <w:szCs w:val="20"/>
        </w:rPr>
        <w:t>A</w:t>
      </w:r>
      <w:r w:rsidRPr="001D316D">
        <w:rPr>
          <w:rFonts w:ascii="Arial" w:eastAsia="Times New Roman" w:hAnsi="Arial" w:cs="Arial"/>
          <w:sz w:val="20"/>
          <w:szCs w:val="20"/>
        </w:rPr>
        <w:t xml:space="preserve">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Alternatively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t>
      </w:r>
      <w:r w:rsidR="002B0046">
        <w:rPr>
          <w:rFonts w:ascii="Arial" w:eastAsia="Times New Roman" w:hAnsi="Arial" w:cs="Arial"/>
          <w:sz w:val="20"/>
          <w:szCs w:val="20"/>
        </w:rPr>
        <w:t xml:space="preserve">and where relevant, the person complained about </w:t>
      </w:r>
      <w:r w:rsidRPr="001D316D">
        <w:rPr>
          <w:rFonts w:ascii="Arial" w:eastAsia="Times New Roman" w:hAnsi="Arial" w:cs="Arial"/>
          <w:sz w:val="20"/>
          <w:szCs w:val="20"/>
        </w:rPr>
        <w:t xml:space="preserve">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"/var/folders/yl/21tvx44j5fvghz7lg5zcw4mw0000gn/T/com.microsoft.Word/WebArchiveCopyPasteTempFiles/page7image7113728"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"/var/folders/yl/21tvx44j5fvghz7lg5zcw4mw0000gn/T/com.microsoft.Word/WebArchiveCopyPasteTempFiles/page7image3758832"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"/var/folders/yl/21tvx44j5fvghz7lg5zcw4mw0000gn/T/com.microsoft.Word/WebArchiveCopyPasteTempFiles/page7image3771520"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"/var/folders/yl/21tvx44j5fvghz7lg5zcw4mw0000gn/T/com.microsoft.Word/WebArchiveCopyPasteTempFiles/page7image3772560"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"/var/folders/yl/21tvx44j5fvghz7lg5zcw4mw0000gn/T/com.microsoft.Word/WebArchiveCopyPasteTempFiles/page7image3773600"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"/var/folders/yl/21tvx44j5fvghz7lg5zcw4mw0000gn/T/com.microsoft.Word/WebArchiveCopyPasteTempFiles/page7image3774640"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"/var/folders/yl/21tvx44j5fvghz7lg5zcw4mw0000gn/T/com.microsoft.Word/WebArchiveCopyPasteTempFiles/page7image3775056"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"/var/folders/yl/21tvx44j5fvghz7lg5zcw4mw0000gn/T/com.microsoft.Word/WebArchiveCopyPasteTempFiles/page7image3775680"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"/var/folders/yl/21tvx44j5fvghz7lg5zcw4mw0000gn/T/com.microsoft.Word/WebArchiveCopyPasteTempFiles/page7image3776720"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3E" w:rsidRDefault="008C783E" w:rsidP="00163868">
      <w:r>
        <w:separator/>
      </w:r>
    </w:p>
  </w:endnote>
  <w:endnote w:type="continuationSeparator" w:id="0">
    <w:p w:rsidR="008C783E" w:rsidRDefault="008C783E"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45F8">
          <w:rPr>
            <w:rStyle w:val="PageNumber"/>
            <w:noProof/>
          </w:rPr>
          <w:t>1</w:t>
        </w:r>
        <w:r>
          <w:rPr>
            <w:rStyle w:val="PageNumber"/>
          </w:rPr>
          <w:fldChar w:fldCharType="end"/>
        </w:r>
      </w:p>
    </w:sdtContent>
  </w:sdt>
  <w:p w:rsidR="00163868" w:rsidRDefault="00163868" w:rsidP="00163868">
    <w:pPr>
      <w:pStyle w:val="Footer"/>
      <w:ind w:right="360"/>
    </w:pPr>
    <w:r>
      <w:t xml:space="preserve">LT </w:t>
    </w:r>
    <w:r>
      <w:tab/>
    </w:r>
    <w:r w:rsidR="001B6CA0">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3E" w:rsidRDefault="008C783E" w:rsidP="00163868">
      <w:r>
        <w:separator/>
      </w:r>
    </w:p>
  </w:footnote>
  <w:footnote w:type="continuationSeparator" w:id="0">
    <w:p w:rsidR="008C783E" w:rsidRDefault="008C783E"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D"/>
    <w:rsid w:val="00160385"/>
    <w:rsid w:val="00163868"/>
    <w:rsid w:val="001B6CA0"/>
    <w:rsid w:val="001D316D"/>
    <w:rsid w:val="00220165"/>
    <w:rsid w:val="0025361E"/>
    <w:rsid w:val="00280B6A"/>
    <w:rsid w:val="002B0046"/>
    <w:rsid w:val="004557B9"/>
    <w:rsid w:val="00564BB6"/>
    <w:rsid w:val="00660982"/>
    <w:rsid w:val="006A2AE4"/>
    <w:rsid w:val="006A45F8"/>
    <w:rsid w:val="006F634D"/>
    <w:rsid w:val="00742984"/>
    <w:rsid w:val="007B18C2"/>
    <w:rsid w:val="008776C8"/>
    <w:rsid w:val="008A267C"/>
    <w:rsid w:val="008C783E"/>
    <w:rsid w:val="008D0AF1"/>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 w:type="paragraph" w:styleId="BalloonText">
    <w:name w:val="Balloon Text"/>
    <w:basedOn w:val="Normal"/>
    <w:link w:val="BalloonTextChar"/>
    <w:uiPriority w:val="99"/>
    <w:semiHidden/>
    <w:unhideWhenUsed/>
    <w:rsid w:val="001B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C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026">
      <w:bodyDiv w:val="1"/>
      <w:marLeft w:val="0"/>
      <w:marRight w:val="0"/>
      <w:marTop w:val="0"/>
      <w:marBottom w:val="0"/>
      <w:divBdr>
        <w:top w:val="none" w:sz="0" w:space="0" w:color="auto"/>
        <w:left w:val="none" w:sz="0" w:space="0" w:color="auto"/>
        <w:bottom w:val="none" w:sz="0" w:space="0" w:color="auto"/>
        <w:right w:val="none" w:sz="0" w:space="0" w:color="auto"/>
      </w:divBdr>
      <w:divsChild>
        <w:div w:id="695036289">
          <w:marLeft w:val="0"/>
          <w:marRight w:val="0"/>
          <w:marTop w:val="0"/>
          <w:marBottom w:val="0"/>
          <w:divBdr>
            <w:top w:val="none" w:sz="0" w:space="0" w:color="auto"/>
            <w:left w:val="none" w:sz="0" w:space="0" w:color="auto"/>
            <w:bottom w:val="none" w:sz="0" w:space="0" w:color="auto"/>
            <w:right w:val="none" w:sz="0" w:space="0" w:color="auto"/>
          </w:divBdr>
          <w:divsChild>
            <w:div w:id="1152529956">
              <w:marLeft w:val="0"/>
              <w:marRight w:val="0"/>
              <w:marTop w:val="0"/>
              <w:marBottom w:val="0"/>
              <w:divBdr>
                <w:top w:val="none" w:sz="0" w:space="0" w:color="auto"/>
                <w:left w:val="none" w:sz="0" w:space="0" w:color="auto"/>
                <w:bottom w:val="none" w:sz="0" w:space="0" w:color="auto"/>
                <w:right w:val="none" w:sz="0" w:space="0" w:color="auto"/>
              </w:divBdr>
              <w:divsChild>
                <w:div w:id="1865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Gartland, Jenny</cp:lastModifiedBy>
  <cp:revision>2</cp:revision>
  <dcterms:created xsi:type="dcterms:W3CDTF">2019-04-25T09:30:00Z</dcterms:created>
  <dcterms:modified xsi:type="dcterms:W3CDTF">2019-04-25T09:30:00Z</dcterms:modified>
</cp:coreProperties>
</file>